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E1099" w14:paraId="07213DF1" w14:textId="77777777">
        <w:tblPrEx>
          <w:tblCellMar>
            <w:top w:w="0" w:type="dxa"/>
            <w:bottom w:w="0" w:type="dxa"/>
          </w:tblCellMar>
        </w:tblPrEx>
        <w:tc>
          <w:tcPr>
            <w:tcW w:w="9026" w:type="dxa"/>
            <w:tcBorders>
              <w:top w:val="none" w:sz="0" w:space="0" w:color="FFFFFF"/>
              <w:left w:val="single" w:sz="12" w:space="0" w:color="C8A9E8"/>
              <w:bottom w:val="none" w:sz="0" w:space="0" w:color="FFFFFF"/>
              <w:right w:val="none" w:sz="0" w:space="0" w:color="FFFFFF"/>
            </w:tcBorders>
            <w:shd w:val="clear" w:color="auto" w:fill="502379"/>
            <w:tcMar>
              <w:top w:w="800" w:type="dxa"/>
              <w:left w:w="600" w:type="dxa"/>
              <w:bottom w:w="800" w:type="dxa"/>
              <w:right w:w="600" w:type="dxa"/>
            </w:tcMar>
          </w:tcPr>
          <w:p w14:paraId="25566B3E" w14:textId="77777777" w:rsidR="009E1099" w:rsidRPr="005C3403" w:rsidRDefault="00000000">
            <w:pPr>
              <w:spacing w:after="100"/>
              <w:rPr>
                <w:sz w:val="16"/>
                <w:szCs w:val="16"/>
                <w:lang w:val="en-US"/>
              </w:rPr>
            </w:pPr>
            <w:r w:rsidRPr="005C3403">
              <w:rPr>
                <w:rFonts w:ascii="Arial" w:eastAsia="Arial" w:hAnsi="Arial" w:cs="Arial"/>
                <w:b/>
                <w:bCs/>
                <w:color w:val="C8A9E8"/>
                <w:spacing w:val="50"/>
                <w:sz w:val="12"/>
                <w:szCs w:val="12"/>
                <w:lang w:val="en-US"/>
              </w:rPr>
              <w:t>CANDIDACY  ·  BOARD OF DIRECTORS  ·  VOLT EUROPA AISBL  ·  2026</w:t>
            </w:r>
          </w:p>
          <w:p w14:paraId="7F5CDF78" w14:textId="77777777" w:rsidR="009E1099" w:rsidRPr="005C3403" w:rsidRDefault="00000000">
            <w:pPr>
              <w:spacing w:after="160"/>
              <w:rPr>
                <w:sz w:val="16"/>
                <w:szCs w:val="16"/>
                <w:lang w:val="en-US"/>
              </w:rPr>
            </w:pPr>
            <w:r w:rsidRPr="005C3403">
              <w:rPr>
                <w:b/>
                <w:bCs/>
                <w:color w:val="FDFBFF"/>
                <w:sz w:val="52"/>
                <w:szCs w:val="52"/>
                <w:lang w:val="en-US"/>
              </w:rPr>
              <w:t>Laurent Ledoux</w:t>
            </w:r>
          </w:p>
          <w:p w14:paraId="28F5F668" w14:textId="77777777" w:rsidR="009E1099" w:rsidRPr="005C3403" w:rsidRDefault="00000000">
            <w:pPr>
              <w:spacing w:after="600"/>
              <w:rPr>
                <w:sz w:val="16"/>
                <w:szCs w:val="16"/>
                <w:lang w:val="en-US"/>
              </w:rPr>
            </w:pPr>
            <w:r w:rsidRPr="005C3403">
              <w:rPr>
                <w:i/>
                <w:iCs/>
                <w:color w:val="C8A9E8"/>
                <w:sz w:val="20"/>
                <w:szCs w:val="20"/>
                <w:lang w:val="en-US"/>
              </w:rPr>
              <w:t>Building the Europe that was always possible — from the inside out.</w:t>
            </w:r>
          </w:p>
          <w:p w14:paraId="7EFAB856" w14:textId="77777777" w:rsidR="009E1099" w:rsidRPr="005C3403" w:rsidRDefault="009E1099">
            <w:pPr>
              <w:pBdr>
                <w:top w:val="single" w:sz="4" w:space="1" w:color="C8A9E8"/>
              </w:pBdr>
              <w:spacing w:after="80"/>
              <w:rPr>
                <w:sz w:val="16"/>
                <w:szCs w:val="16"/>
                <w:lang w:val="en-US"/>
              </w:rPr>
            </w:pPr>
          </w:p>
          <w:p w14:paraId="737EC329" w14:textId="77777777" w:rsidR="009E1099" w:rsidRPr="005C3403" w:rsidRDefault="00000000">
            <w:pPr>
              <w:rPr>
                <w:sz w:val="16"/>
                <w:szCs w:val="16"/>
                <w:lang w:val="en-US"/>
              </w:rPr>
            </w:pPr>
            <w:r w:rsidRPr="005C3403">
              <w:rPr>
                <w:rFonts w:ascii="Arial" w:eastAsia="Arial" w:hAnsi="Arial" w:cs="Arial"/>
                <w:b/>
                <w:bCs/>
                <w:color w:val="C8A9E8"/>
                <w:sz w:val="12"/>
                <w:szCs w:val="12"/>
                <w:lang w:val="en-US"/>
              </w:rPr>
              <w:t xml:space="preserve">Nationality: </w:t>
            </w:r>
            <w:r w:rsidRPr="005C3403">
              <w:rPr>
                <w:rFonts w:ascii="Arial" w:eastAsia="Arial" w:hAnsi="Arial" w:cs="Arial"/>
                <w:color w:val="FDFBFF"/>
                <w:sz w:val="12"/>
                <w:szCs w:val="12"/>
                <w:lang w:val="en-US"/>
              </w:rPr>
              <w:t xml:space="preserve">Belgian   </w:t>
            </w:r>
            <w:r w:rsidRPr="005C3403">
              <w:rPr>
                <w:rFonts w:ascii="Arial" w:eastAsia="Arial" w:hAnsi="Arial" w:cs="Arial"/>
                <w:b/>
                <w:bCs/>
                <w:color w:val="C8A9E8"/>
                <w:sz w:val="12"/>
                <w:szCs w:val="12"/>
                <w:lang w:val="en-US"/>
              </w:rPr>
              <w:t xml:space="preserve">Languages: </w:t>
            </w:r>
            <w:r w:rsidRPr="005C3403">
              <w:rPr>
                <w:rFonts w:ascii="Arial" w:eastAsia="Arial" w:hAnsi="Arial" w:cs="Arial"/>
                <w:color w:val="FDFBFF"/>
                <w:sz w:val="12"/>
                <w:szCs w:val="12"/>
                <w:lang w:val="en-US"/>
              </w:rPr>
              <w:t xml:space="preserve">7 European + Russian   </w:t>
            </w:r>
            <w:r w:rsidRPr="005C3403">
              <w:rPr>
                <w:rFonts w:ascii="Arial" w:eastAsia="Arial" w:hAnsi="Arial" w:cs="Arial"/>
                <w:b/>
                <w:bCs/>
                <w:color w:val="C8A9E8"/>
                <w:sz w:val="12"/>
                <w:szCs w:val="12"/>
                <w:lang w:val="en-US"/>
              </w:rPr>
              <w:t xml:space="preserve">Experience: </w:t>
            </w:r>
            <w:r w:rsidRPr="005C3403">
              <w:rPr>
                <w:rFonts w:ascii="Arial" w:eastAsia="Arial" w:hAnsi="Arial" w:cs="Arial"/>
                <w:color w:val="FDFBFF"/>
                <w:sz w:val="12"/>
                <w:szCs w:val="12"/>
                <w:lang w:val="en-US"/>
              </w:rPr>
              <w:t>30+ years</w:t>
            </w:r>
          </w:p>
          <w:p w14:paraId="6111E8EA" w14:textId="77777777" w:rsidR="009E1099" w:rsidRDefault="00000000">
            <w:pPr>
              <w:spacing w:before="80"/>
            </w:pPr>
            <w:r w:rsidRPr="005C3403">
              <w:rPr>
                <w:rFonts w:ascii="Arial" w:eastAsia="Arial" w:hAnsi="Arial" w:cs="Arial"/>
                <w:b/>
                <w:bCs/>
                <w:color w:val="C8A9E8"/>
                <w:sz w:val="12"/>
                <w:szCs w:val="12"/>
              </w:rPr>
              <w:t xml:space="preserve">Contact: </w:t>
            </w:r>
            <w:r w:rsidRPr="005C3403">
              <w:rPr>
                <w:rFonts w:ascii="Arial" w:eastAsia="Arial" w:hAnsi="Arial" w:cs="Arial"/>
                <w:color w:val="FDFBFF"/>
                <w:sz w:val="12"/>
                <w:szCs w:val="12"/>
              </w:rPr>
              <w:t>ledoux.laurent@gmail.com   +32 478 62 14 20</w:t>
            </w:r>
          </w:p>
        </w:tc>
      </w:tr>
    </w:tbl>
    <w:p w14:paraId="5F0BE612" w14:textId="77777777" w:rsidR="009E1099" w:rsidRDefault="00000000">
      <w:pPr>
        <w:spacing w:before="400" w:after="80"/>
      </w:pPr>
      <w:r>
        <w:rPr>
          <w:rFonts w:ascii="Arial" w:eastAsia="Arial" w:hAnsi="Arial" w:cs="Arial"/>
          <w:b/>
          <w:bCs/>
          <w:color w:val="7B4FA6"/>
          <w:spacing w:val="60"/>
          <w:sz w:val="18"/>
          <w:szCs w:val="18"/>
        </w:rPr>
        <w:t>OPENING STATEMENT</w:t>
      </w:r>
    </w:p>
    <w:p w14:paraId="66861FD9" w14:textId="77777777" w:rsidR="009E1099" w:rsidRPr="005C3403" w:rsidRDefault="00000000">
      <w:pPr>
        <w:pStyle w:val="Titre1"/>
        <w:rPr>
          <w:lang w:val="en-US"/>
        </w:rPr>
      </w:pPr>
      <w:r w:rsidRPr="005C3403">
        <w:rPr>
          <w:lang w:val="en-US"/>
        </w:rPr>
        <w:t>Why Volt. Why now. Why me.</w:t>
      </w:r>
    </w:p>
    <w:p w14:paraId="5C0C120D" w14:textId="7BD44E1A" w:rsidR="009E1099" w:rsidRPr="005C3403" w:rsidRDefault="00000000">
      <w:pPr>
        <w:spacing w:after="160"/>
        <w:rPr>
          <w:lang w:val="en-US"/>
        </w:rPr>
      </w:pPr>
      <w:r w:rsidRPr="005C3403">
        <w:rPr>
          <w:lang w:val="en-US"/>
        </w:rPr>
        <w:t>For thirty years, I've been watching Europe from the inside — as a civil servant, a banker, a consultant, an academic, and a citizen. And for most of that time, one thought kept returning: someone needs to build a genuinely pan-European political force. Not a coalition of national parties wearing a European flag on weekends. A real party. One programme, one identity, thirty-plus countries.</w:t>
      </w:r>
      <w:r w:rsidR="005C3403">
        <w:rPr>
          <w:lang w:val="en-US"/>
        </w:rPr>
        <w:t xml:space="preserve"> T</w:t>
      </w:r>
      <w:r w:rsidRPr="005C3403">
        <w:rPr>
          <w:lang w:val="en-US"/>
        </w:rPr>
        <w:t>hat's why I joined</w:t>
      </w:r>
      <w:r w:rsidR="005C3403">
        <w:rPr>
          <w:lang w:val="en-US"/>
        </w:rPr>
        <w:t xml:space="preserve"> Volt</w:t>
      </w:r>
      <w:r w:rsidRPr="005C3403">
        <w:rPr>
          <w:lang w:val="en-US"/>
        </w:rPr>
        <w:t>.</w:t>
      </w:r>
    </w:p>
    <w:p w14:paraId="40EA48D4" w14:textId="0972AC5F" w:rsidR="009E1099" w:rsidRDefault="00000000" w:rsidP="005C3403">
      <w:pPr>
        <w:spacing w:after="160"/>
      </w:pPr>
      <w:r w:rsidRPr="005C3403">
        <w:rPr>
          <w:lang w:val="en-US"/>
        </w:rPr>
        <w:t xml:space="preserve">I'm not drawn to Volt because it's fashionable. I'm drawn because its core bet — that you can't solve European problems with national politics — is the same conviction I've held since the 1990s, long before Volt existed. The difference is that Volt is actually doing it. Five MEPs. 280+ elected officials. Active in more than thirty countries. A programme built around a federal, green, progressive Europe that works for everyone, wherever they live.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026"/>
      </w:tblGrid>
      <w:tr w:rsidR="009E1099" w14:paraId="460C95E6" w14:textId="77777777">
        <w:tc>
          <w:tcPr>
            <w:tcW w:w="9026" w:type="dxa"/>
            <w:tcBorders>
              <w:top w:val="none" w:sz="0" w:space="0" w:color="FFFFFF"/>
              <w:left w:val="single" w:sz="16" w:space="0" w:color="502379"/>
              <w:bottom w:val="none" w:sz="0" w:space="0" w:color="FFFFFF"/>
              <w:right w:val="none" w:sz="0" w:space="0" w:color="FFFFFF"/>
            </w:tcBorders>
            <w:shd w:val="clear" w:color="auto" w:fill="F4EFF9"/>
            <w:tcMar>
              <w:top w:w="160" w:type="dxa"/>
              <w:left w:w="300" w:type="dxa"/>
              <w:bottom w:w="160" w:type="dxa"/>
              <w:right w:w="160" w:type="dxa"/>
            </w:tcMar>
          </w:tcPr>
          <w:p w14:paraId="76F8B0F9" w14:textId="77777777" w:rsidR="009E1099" w:rsidRPr="005C3403" w:rsidRDefault="00000000">
            <w:pPr>
              <w:spacing w:after="100"/>
              <w:rPr>
                <w:lang w:val="en-US"/>
              </w:rPr>
            </w:pPr>
            <w:r w:rsidRPr="005C3403">
              <w:rPr>
                <w:i/>
                <w:iCs/>
                <w:color w:val="502379"/>
                <w:sz w:val="26"/>
                <w:szCs w:val="26"/>
                <w:lang w:val="en-US"/>
              </w:rPr>
              <w:t>Europe is mortal — and with it, everything that 70 years of post-war integration has brought to the world. The construction of a genuine European defence isn’t a military project. It’s the pivot around which every other European challenge will turn.</w:t>
            </w:r>
          </w:p>
          <w:p w14:paraId="3DAA36FE" w14:textId="77777777" w:rsidR="009E1099" w:rsidRDefault="00000000">
            <w:r>
              <w:rPr>
                <w:rFonts w:ascii="Arial" w:eastAsia="Arial" w:hAnsi="Arial" w:cs="Arial"/>
                <w:b/>
                <w:bCs/>
                <w:caps/>
                <w:color w:val="6B5878"/>
                <w:spacing w:val="40"/>
                <w:sz w:val="16"/>
                <w:szCs w:val="16"/>
              </w:rPr>
              <w:t>— Laurent Ledoux, Substack, May 2024</w:t>
            </w:r>
          </w:p>
        </w:tc>
      </w:tr>
    </w:tbl>
    <w:p w14:paraId="5C71CF75" w14:textId="77777777" w:rsidR="005C3403" w:rsidRDefault="005C3403">
      <w:pPr>
        <w:spacing w:after="160"/>
        <w:rPr>
          <w:lang w:val="en-US"/>
        </w:rPr>
      </w:pPr>
    </w:p>
    <w:p w14:paraId="7767F086" w14:textId="0F4B726F" w:rsidR="009E1099" w:rsidRPr="005C3403" w:rsidRDefault="00000000">
      <w:pPr>
        <w:spacing w:after="160"/>
        <w:rPr>
          <w:lang w:val="en-US"/>
        </w:rPr>
      </w:pPr>
      <w:r w:rsidRPr="005C3403">
        <w:rPr>
          <w:lang w:val="en-US"/>
        </w:rPr>
        <w:t xml:space="preserve">Ahead of the June 2024 European elections, I published a long-form piece arguing precisely this: that electing courageous MEPs committed to European integration — not retreat — was one of the most important acts of political leadership any citizen could exercise. It wasn't written because elections were coming. It's what I've been thinking for twenty-five years. You can read it at: </w:t>
      </w:r>
      <w:r w:rsidRPr="005C3403">
        <w:rPr>
          <w:b/>
          <w:bCs/>
          <w:color w:val="502379"/>
          <w:lang w:val="en-US"/>
        </w:rPr>
        <w:t>philomaunione.substack.com/p/exercise-your-leadership-by-electing</w:t>
      </w:r>
    </w:p>
    <w:p w14:paraId="6983318C" w14:textId="77777777" w:rsidR="009E1099" w:rsidRPr="005C3403" w:rsidRDefault="009E1099">
      <w:pPr>
        <w:pBdr>
          <w:bottom w:val="single" w:sz="4" w:space="1" w:color="D4C3E8"/>
        </w:pBdr>
        <w:spacing w:before="320" w:after="320"/>
        <w:rPr>
          <w:lang w:val="en-US"/>
        </w:rPr>
      </w:pPr>
    </w:p>
    <w:p w14:paraId="082DF0FC" w14:textId="77777777" w:rsidR="005C3403" w:rsidRDefault="005C3403">
      <w:pPr>
        <w:rPr>
          <w:rFonts w:ascii="Arial" w:eastAsia="Arial" w:hAnsi="Arial" w:cs="Arial"/>
          <w:b/>
          <w:bCs/>
          <w:color w:val="7B4FA6"/>
          <w:spacing w:val="60"/>
          <w:sz w:val="18"/>
          <w:szCs w:val="18"/>
          <w:lang w:val="en-US"/>
        </w:rPr>
      </w:pPr>
      <w:r>
        <w:rPr>
          <w:rFonts w:ascii="Arial" w:eastAsia="Arial" w:hAnsi="Arial" w:cs="Arial"/>
          <w:b/>
          <w:bCs/>
          <w:color w:val="7B4FA6"/>
          <w:spacing w:val="60"/>
          <w:sz w:val="18"/>
          <w:szCs w:val="18"/>
          <w:lang w:val="en-US"/>
        </w:rPr>
        <w:br w:type="page"/>
      </w:r>
    </w:p>
    <w:p w14:paraId="6910C536" w14:textId="1530B21E" w:rsidR="009E1099" w:rsidRPr="005C3403" w:rsidRDefault="00000000">
      <w:pPr>
        <w:spacing w:before="400" w:after="80"/>
        <w:rPr>
          <w:lang w:val="en-US"/>
        </w:rPr>
      </w:pPr>
      <w:r w:rsidRPr="005C3403">
        <w:rPr>
          <w:rFonts w:ascii="Arial" w:eastAsia="Arial" w:hAnsi="Arial" w:cs="Arial"/>
          <w:b/>
          <w:bCs/>
          <w:color w:val="7B4FA6"/>
          <w:spacing w:val="60"/>
          <w:sz w:val="18"/>
          <w:szCs w:val="18"/>
          <w:lang w:val="en-US"/>
        </w:rPr>
        <w:lastRenderedPageBreak/>
        <w:t>EUROPEAN IDENTITY</w:t>
      </w:r>
    </w:p>
    <w:p w14:paraId="436AA466" w14:textId="77777777" w:rsidR="009E1099" w:rsidRPr="005C3403" w:rsidRDefault="00000000">
      <w:pPr>
        <w:pStyle w:val="Titre1"/>
        <w:rPr>
          <w:lang w:val="en-US"/>
        </w:rPr>
      </w:pPr>
      <w:r w:rsidRPr="005C3403">
        <w:rPr>
          <w:lang w:val="en-US"/>
        </w:rPr>
        <w:t>A European by conviction, not by circumstance</w:t>
      </w:r>
    </w:p>
    <w:p w14:paraId="6D31B997" w14:textId="77777777" w:rsidR="009E1099" w:rsidRPr="005C3403" w:rsidRDefault="00000000">
      <w:pPr>
        <w:spacing w:after="160"/>
        <w:rPr>
          <w:lang w:val="en-US"/>
        </w:rPr>
      </w:pPr>
      <w:r w:rsidRPr="005C3403">
        <w:rPr>
          <w:lang w:val="en-US"/>
        </w:rPr>
        <w:t xml:space="preserve">I'm not a new convert to federalism. Back in 1999, I ran as a candidate for the European Parliament. During that campaign, I actively supported the </w:t>
      </w:r>
      <w:r w:rsidRPr="005C3403">
        <w:rPr>
          <w:b/>
          <w:bCs/>
          <w:lang w:val="en-US"/>
        </w:rPr>
        <w:t>Anastassopoulos proposal</w:t>
      </w:r>
      <w:r w:rsidRPr="005C3403">
        <w:rPr>
          <w:lang w:val="en-US"/>
        </w:rPr>
        <w:t xml:space="preserve"> — a bold reform that would have reserved seats in the European Parliament for candidates who had campaigned across multiple European countries, not just their own.</w:t>
      </w:r>
    </w:p>
    <w:p w14:paraId="27A9BC36" w14:textId="77777777" w:rsidR="009E1099" w:rsidRPr="005C3403" w:rsidRDefault="00000000">
      <w:pPr>
        <w:spacing w:after="160"/>
        <w:rPr>
          <w:lang w:val="en-US"/>
        </w:rPr>
      </w:pPr>
      <w:r w:rsidRPr="005C3403">
        <w:rPr>
          <w:lang w:val="en-US"/>
        </w:rPr>
        <w:t>The instinct behind it was right then, and it remains right now: if you want genuinely European politicians, you need to create the institutional conditions for them to exist. You can't expect pan-European thinking from candidates whose entire career incentive is national. I campaigned across borders. I believed in Anastassopoulos then. I believe in the same principle today — and I'll push for it from inside the Board.</w:t>
      </w:r>
    </w:p>
    <w:p w14:paraId="35A61BE4" w14:textId="77777777" w:rsidR="009E1099" w:rsidRPr="005C3403" w:rsidRDefault="00000000">
      <w:pPr>
        <w:spacing w:after="160"/>
        <w:rPr>
          <w:lang w:val="en-US"/>
        </w:rPr>
      </w:pPr>
      <w:r w:rsidRPr="005C3403">
        <w:rPr>
          <w:lang w:val="en-US"/>
        </w:rPr>
        <w:t>Volt's own "Making Votes Count" pillar — its commitment to reforming European democracy and electoral legitimacy — is the natural heir to that same ambition. The work isn't finished. It's barely started.</w:t>
      </w:r>
    </w:p>
    <w:p w14:paraId="4088BD1D" w14:textId="114E78AB" w:rsidR="009E1099" w:rsidRPr="005C3403" w:rsidRDefault="00000000">
      <w:pPr>
        <w:pStyle w:val="Titre2"/>
        <w:rPr>
          <w:lang w:val="en-US"/>
        </w:rPr>
      </w:pPr>
      <w:r w:rsidRPr="005C3403">
        <w:rPr>
          <w:lang w:val="en-US"/>
        </w:rPr>
        <w:t xml:space="preserve">Seven languages. </w:t>
      </w:r>
    </w:p>
    <w:p w14:paraId="58CBDFB8" w14:textId="77777777" w:rsidR="009E1099" w:rsidRPr="005C3403" w:rsidRDefault="00000000">
      <w:pPr>
        <w:spacing w:after="160"/>
        <w:rPr>
          <w:lang w:val="en-US"/>
        </w:rPr>
      </w:pPr>
      <w:r w:rsidRPr="005C3403">
        <w:rPr>
          <w:lang w:val="en-US"/>
        </w:rPr>
        <w:t xml:space="preserve">I'm fluent in seven European languages: </w:t>
      </w:r>
      <w:r w:rsidRPr="005C3403">
        <w:rPr>
          <w:b/>
          <w:bCs/>
          <w:lang w:val="en-US"/>
        </w:rPr>
        <w:t>French, English, Dutch, German, Spanish, Portuguese, and Italian.</w:t>
      </w:r>
      <w:r w:rsidRPr="005C3403">
        <w:rPr>
          <w:lang w:val="en-US"/>
        </w:rPr>
        <w:t xml:space="preserve"> I also have an intermediate command of Russian.</w:t>
      </w:r>
    </w:p>
    <w:p w14:paraId="20527C0C" w14:textId="77777777" w:rsidR="009E1099" w:rsidRPr="005C3403" w:rsidRDefault="00000000">
      <w:pPr>
        <w:spacing w:after="160"/>
        <w:rPr>
          <w:lang w:val="en-US"/>
        </w:rPr>
      </w:pPr>
      <w:r w:rsidRPr="005C3403">
        <w:rPr>
          <w:lang w:val="en-US"/>
        </w:rPr>
        <w:t>That's not a résumé line. It's the difference between understanding what's actually happening in a room — the subtext, the frustration, the humour — and reading a summary of it the next morning. For a genuinely pan-European party, the ability to engage directly with members, press, institutional partners, and the public across most of the continent without an intermediary isn't a nice-to-have. It's essential. Volt's 2024 Electoral Moonshot Programme was published in seven languages. I can speak all of them.</w:t>
      </w:r>
    </w:p>
    <w:p w14:paraId="176DA8E9" w14:textId="77777777" w:rsidR="009E1099" w:rsidRPr="005C3403" w:rsidRDefault="009E1099">
      <w:pPr>
        <w:pBdr>
          <w:bottom w:val="single" w:sz="4" w:space="1" w:color="D4C3E8"/>
        </w:pBdr>
        <w:spacing w:before="320" w:after="320"/>
        <w:rPr>
          <w:lang w:val="en-US"/>
        </w:rPr>
      </w:pPr>
    </w:p>
    <w:p w14:paraId="369BB27C" w14:textId="77777777" w:rsidR="005C3403" w:rsidRDefault="005C3403">
      <w:pPr>
        <w:rPr>
          <w:rFonts w:ascii="Arial" w:eastAsia="Arial" w:hAnsi="Arial" w:cs="Arial"/>
          <w:b/>
          <w:bCs/>
          <w:color w:val="7B4FA6"/>
          <w:spacing w:val="60"/>
          <w:sz w:val="18"/>
          <w:szCs w:val="18"/>
          <w:lang w:val="en-US"/>
        </w:rPr>
      </w:pPr>
      <w:r>
        <w:rPr>
          <w:rFonts w:ascii="Arial" w:eastAsia="Arial" w:hAnsi="Arial" w:cs="Arial"/>
          <w:b/>
          <w:bCs/>
          <w:color w:val="7B4FA6"/>
          <w:spacing w:val="60"/>
          <w:sz w:val="18"/>
          <w:szCs w:val="18"/>
          <w:lang w:val="en-US"/>
        </w:rPr>
        <w:br w:type="page"/>
      </w:r>
    </w:p>
    <w:p w14:paraId="64F5B03C" w14:textId="0A77F26B" w:rsidR="009E1099" w:rsidRPr="005C3403" w:rsidRDefault="00000000">
      <w:pPr>
        <w:spacing w:before="400" w:after="80"/>
        <w:rPr>
          <w:lang w:val="en-US"/>
        </w:rPr>
      </w:pPr>
      <w:r w:rsidRPr="005C3403">
        <w:rPr>
          <w:rFonts w:ascii="Arial" w:eastAsia="Arial" w:hAnsi="Arial" w:cs="Arial"/>
          <w:b/>
          <w:bCs/>
          <w:color w:val="7B4FA6"/>
          <w:spacing w:val="60"/>
          <w:sz w:val="18"/>
          <w:szCs w:val="18"/>
          <w:lang w:val="en-US"/>
        </w:rPr>
        <w:lastRenderedPageBreak/>
        <w:t>TRACK RECORD</w:t>
      </w:r>
    </w:p>
    <w:p w14:paraId="4076D37A" w14:textId="77777777" w:rsidR="009E1099" w:rsidRPr="005C3403" w:rsidRDefault="00000000">
      <w:pPr>
        <w:pStyle w:val="Titre1"/>
        <w:rPr>
          <w:lang w:val="en-US"/>
        </w:rPr>
      </w:pPr>
      <w:r w:rsidRPr="005C3403">
        <w:rPr>
          <w:lang w:val="en-US"/>
        </w:rPr>
        <w:t>What I’ve actually done — and what it means for Volt</w:t>
      </w:r>
    </w:p>
    <w:p w14:paraId="299BB574" w14:textId="77777777" w:rsidR="009E1099" w:rsidRDefault="00000000">
      <w:pPr>
        <w:spacing w:after="160"/>
      </w:pPr>
      <w:r w:rsidRPr="005C3403">
        <w:rPr>
          <w:lang w:val="en-US"/>
        </w:rPr>
        <w:t xml:space="preserve">The Board of Volt Europa AISBL isn't a ceremonial body. It makes real decisions about how this organisation runs, grows, and pursues its mission across thirty countries. </w:t>
      </w:r>
      <w:r>
        <w:t>That requires people who've actually run things.</w:t>
      </w:r>
    </w:p>
    <w:p w14:paraId="558CFD94" w14:textId="77777777" w:rsidR="009E1099" w:rsidRDefault="009E1099">
      <w:pPr>
        <w:spacing w:before="160" w:after="160"/>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89"/>
        <w:gridCol w:w="126"/>
        <w:gridCol w:w="3211"/>
      </w:tblGrid>
      <w:tr w:rsidR="009E1099" w:rsidRPr="005C3403" w14:paraId="5F30ADF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1CE8F9D3" w14:textId="77777777" w:rsidR="009E1099" w:rsidRPr="005C3403" w:rsidRDefault="00000000">
            <w:pPr>
              <w:spacing w:after="40"/>
              <w:rPr>
                <w:lang w:val="en-US"/>
              </w:rPr>
            </w:pPr>
            <w:r w:rsidRPr="005C3403">
              <w:rPr>
                <w:rFonts w:ascii="Arial" w:eastAsia="Arial" w:hAnsi="Arial" w:cs="Arial"/>
                <w:b/>
                <w:bCs/>
                <w:color w:val="502379"/>
                <w:sz w:val="20"/>
                <w:szCs w:val="20"/>
                <w:lang w:val="en-US"/>
              </w:rPr>
              <w:t>President of the Executive Committee</w:t>
            </w:r>
          </w:p>
          <w:p w14:paraId="30C4CC13" w14:textId="77777777" w:rsidR="009E1099" w:rsidRPr="005C3403" w:rsidRDefault="00000000">
            <w:pPr>
              <w:rPr>
                <w:lang w:val="en-US"/>
              </w:rPr>
            </w:pPr>
            <w:r w:rsidRPr="005C3403">
              <w:rPr>
                <w:rFonts w:ascii="Arial" w:eastAsia="Arial" w:hAnsi="Arial" w:cs="Arial"/>
                <w:color w:val="6B5878"/>
                <w:sz w:val="18"/>
                <w:szCs w:val="18"/>
                <w:lang w:val="en-US"/>
              </w:rPr>
              <w:t>Belgian Ministry of Mobility &amp; Transport · 1,100 civil servants · €1 billion annual budget</w:t>
            </w:r>
          </w:p>
        </w:tc>
        <w:tc>
          <w:tcPr>
            <w:tcW w:w="200" w:type="dxa"/>
            <w:tcBorders>
              <w:top w:val="none" w:sz="0" w:space="0" w:color="FFFFFF"/>
              <w:left w:val="none" w:sz="0" w:space="0" w:color="FFFFFF"/>
              <w:bottom w:val="none" w:sz="0" w:space="0" w:color="FFFFFF"/>
              <w:right w:val="none" w:sz="0" w:space="0" w:color="FFFFFF"/>
            </w:tcBorders>
          </w:tcPr>
          <w:p w14:paraId="08D5C621" w14:textId="77777777" w:rsidR="009E1099" w:rsidRPr="005C3403" w:rsidRDefault="009E1099">
            <w:pPr>
              <w:rPr>
                <w:lang w:val="en-US"/>
              </w:rPr>
            </w:pPr>
          </w:p>
        </w:tc>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0C1E8F92" w14:textId="77777777" w:rsidR="009E1099" w:rsidRPr="005C3403" w:rsidRDefault="00000000">
            <w:pPr>
              <w:spacing w:after="40"/>
              <w:rPr>
                <w:lang w:val="en-US"/>
              </w:rPr>
            </w:pPr>
            <w:r w:rsidRPr="005C3403">
              <w:rPr>
                <w:rFonts w:ascii="Arial" w:eastAsia="Arial" w:hAnsi="Arial" w:cs="Arial"/>
                <w:b/>
                <w:bCs/>
                <w:color w:val="502379"/>
                <w:sz w:val="20"/>
                <w:szCs w:val="20"/>
                <w:lang w:val="en-US"/>
              </w:rPr>
              <w:t>Turnaround CEO</w:t>
            </w:r>
          </w:p>
          <w:p w14:paraId="0B7694A1" w14:textId="77777777" w:rsidR="009E1099" w:rsidRPr="005C3403" w:rsidRDefault="00000000">
            <w:pPr>
              <w:rPr>
                <w:lang w:val="en-US"/>
              </w:rPr>
            </w:pPr>
            <w:r w:rsidRPr="005C3403">
              <w:rPr>
                <w:rFonts w:ascii="Arial" w:eastAsia="Arial" w:hAnsi="Arial" w:cs="Arial"/>
                <w:color w:val="6B5878"/>
                <w:sz w:val="18"/>
                <w:szCs w:val="18"/>
                <w:lang w:val="en-US"/>
              </w:rPr>
              <w:t>EurActiv (pan-European media) · loss to profit in 12 months · 100 employees</w:t>
            </w:r>
          </w:p>
        </w:tc>
      </w:tr>
      <w:tr w:rsidR="009E1099" w:rsidRPr="005C3403" w14:paraId="4C53D4A9" w14:textId="77777777">
        <w:tblPrEx>
          <w:tblCellMar>
            <w:top w:w="0" w:type="dxa"/>
            <w:bottom w:w="0" w:type="dxa"/>
          </w:tblCellMar>
        </w:tblPrEx>
        <w:trPr>
          <w:gridAfter w:val="2"/>
          <w:wAfter w:w="4713" w:type="dxa"/>
        </w:trPr>
        <w:tc>
          <w:tcPr>
            <w:tcW w:w="9226" w:type="dxa"/>
            <w:tcBorders>
              <w:top w:val="none" w:sz="0" w:space="0" w:color="FFFFFF"/>
              <w:left w:val="none" w:sz="0" w:space="0" w:color="FFFFFF"/>
              <w:bottom w:val="none" w:sz="0" w:space="0" w:color="FFFFFF"/>
              <w:right w:val="none" w:sz="0" w:space="0" w:color="FFFFFF"/>
            </w:tcBorders>
          </w:tcPr>
          <w:p w14:paraId="698FCA61" w14:textId="77777777" w:rsidR="009E1099" w:rsidRPr="005C3403" w:rsidRDefault="009E1099">
            <w:pPr>
              <w:spacing w:before="80" w:after="80"/>
              <w:rPr>
                <w:lang w:val="en-US"/>
              </w:rPr>
            </w:pPr>
          </w:p>
        </w:tc>
      </w:tr>
      <w:tr w:rsidR="009E1099" w14:paraId="0461A754"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4712470A" w14:textId="77777777" w:rsidR="009E1099" w:rsidRPr="005C3403" w:rsidRDefault="00000000">
            <w:pPr>
              <w:spacing w:after="40"/>
              <w:rPr>
                <w:lang w:val="en-US"/>
              </w:rPr>
            </w:pPr>
            <w:r w:rsidRPr="005C3403">
              <w:rPr>
                <w:rFonts w:ascii="Arial" w:eastAsia="Arial" w:hAnsi="Arial" w:cs="Arial"/>
                <w:b/>
                <w:bCs/>
                <w:color w:val="502379"/>
                <w:sz w:val="20"/>
                <w:szCs w:val="20"/>
                <w:lang w:val="en-US"/>
              </w:rPr>
              <w:t>Head of Public Banking</w:t>
            </w:r>
          </w:p>
          <w:p w14:paraId="233C16D6" w14:textId="77777777" w:rsidR="009E1099" w:rsidRPr="005C3403" w:rsidRDefault="00000000">
            <w:pPr>
              <w:rPr>
                <w:lang w:val="en-US"/>
              </w:rPr>
            </w:pPr>
            <w:r w:rsidRPr="005C3403">
              <w:rPr>
                <w:rFonts w:ascii="Arial" w:eastAsia="Arial" w:hAnsi="Arial" w:cs="Arial"/>
                <w:color w:val="6B5878"/>
                <w:sz w:val="18"/>
                <w:szCs w:val="18"/>
                <w:lang w:val="en-US"/>
              </w:rPr>
              <w:t>BNP Paribas Fortis · grew assets from €2.5bn to €10bn · proposed Microstart</w:t>
            </w:r>
          </w:p>
        </w:tc>
        <w:tc>
          <w:tcPr>
            <w:tcW w:w="200" w:type="dxa"/>
            <w:tcBorders>
              <w:top w:val="none" w:sz="0" w:space="0" w:color="FFFFFF"/>
              <w:left w:val="none" w:sz="0" w:space="0" w:color="FFFFFF"/>
              <w:bottom w:val="none" w:sz="0" w:space="0" w:color="FFFFFF"/>
              <w:right w:val="none" w:sz="0" w:space="0" w:color="FFFFFF"/>
            </w:tcBorders>
          </w:tcPr>
          <w:p w14:paraId="5344DF2A" w14:textId="77777777" w:rsidR="009E1099" w:rsidRPr="005C3403" w:rsidRDefault="009E1099">
            <w:pPr>
              <w:rPr>
                <w:lang w:val="en-US"/>
              </w:rPr>
            </w:pPr>
          </w:p>
        </w:tc>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14323CC8" w14:textId="77777777" w:rsidR="009E1099" w:rsidRDefault="00000000">
            <w:pPr>
              <w:spacing w:after="40"/>
            </w:pPr>
            <w:r>
              <w:rPr>
                <w:rFonts w:ascii="Arial" w:eastAsia="Arial" w:hAnsi="Arial" w:cs="Arial"/>
                <w:b/>
                <w:bCs/>
                <w:color w:val="502379"/>
                <w:sz w:val="20"/>
                <w:szCs w:val="20"/>
              </w:rPr>
              <w:t>Founder &amp; CEO</w:t>
            </w:r>
          </w:p>
          <w:p w14:paraId="6652750F" w14:textId="77777777" w:rsidR="009E1099" w:rsidRDefault="00000000">
            <w:r>
              <w:rPr>
                <w:rFonts w:ascii="Arial" w:eastAsia="Arial" w:hAnsi="Arial" w:cs="Arial"/>
                <w:color w:val="6B5878"/>
                <w:sz w:val="18"/>
                <w:szCs w:val="18"/>
              </w:rPr>
              <w:t>Phusis Partners &amp; Equis Srl · transformation programmes in France, Belgium, Italy, Luxembourg</w:t>
            </w:r>
          </w:p>
        </w:tc>
      </w:tr>
      <w:tr w:rsidR="009E1099" w14:paraId="58714BF3" w14:textId="77777777">
        <w:tblPrEx>
          <w:tblCellMar>
            <w:top w:w="0" w:type="dxa"/>
            <w:bottom w:w="0" w:type="dxa"/>
          </w:tblCellMar>
        </w:tblPrEx>
        <w:trPr>
          <w:gridAfter w:val="2"/>
          <w:wAfter w:w="4713" w:type="dxa"/>
        </w:trPr>
        <w:tc>
          <w:tcPr>
            <w:tcW w:w="9226" w:type="dxa"/>
            <w:tcBorders>
              <w:top w:val="none" w:sz="0" w:space="0" w:color="FFFFFF"/>
              <w:left w:val="none" w:sz="0" w:space="0" w:color="FFFFFF"/>
              <w:bottom w:val="none" w:sz="0" w:space="0" w:color="FFFFFF"/>
              <w:right w:val="none" w:sz="0" w:space="0" w:color="FFFFFF"/>
            </w:tcBorders>
          </w:tcPr>
          <w:p w14:paraId="315D040E" w14:textId="77777777" w:rsidR="009E1099" w:rsidRDefault="009E1099">
            <w:pPr>
              <w:spacing w:before="80" w:after="80"/>
            </w:pPr>
          </w:p>
        </w:tc>
      </w:tr>
      <w:tr w:rsidR="009E1099" w:rsidRPr="005C3403" w14:paraId="327C4DA8"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0D7B9255" w14:textId="77777777" w:rsidR="009E1099" w:rsidRDefault="00000000">
            <w:pPr>
              <w:spacing w:after="40"/>
            </w:pPr>
            <w:r>
              <w:rPr>
                <w:rFonts w:ascii="Arial" w:eastAsia="Arial" w:hAnsi="Arial" w:cs="Arial"/>
                <w:b/>
                <w:bCs/>
                <w:color w:val="502379"/>
                <w:sz w:val="20"/>
                <w:szCs w:val="20"/>
              </w:rPr>
              <w:t>EC Programme Manager</w:t>
            </w:r>
          </w:p>
          <w:p w14:paraId="58A96D51" w14:textId="77777777" w:rsidR="009E1099" w:rsidRDefault="00000000">
            <w:r>
              <w:rPr>
                <w:rFonts w:ascii="Arial" w:eastAsia="Arial" w:hAnsi="Arial" w:cs="Arial"/>
                <w:color w:val="6B5878"/>
                <w:sz w:val="18"/>
                <w:szCs w:val="18"/>
              </w:rPr>
              <w:t>TACIS Programme · Belarus, Moldova, Ukraine · €60m budget · 40 international consultants</w:t>
            </w:r>
          </w:p>
        </w:tc>
        <w:tc>
          <w:tcPr>
            <w:tcW w:w="200" w:type="dxa"/>
            <w:tcBorders>
              <w:top w:val="none" w:sz="0" w:space="0" w:color="FFFFFF"/>
              <w:left w:val="none" w:sz="0" w:space="0" w:color="FFFFFF"/>
              <w:bottom w:val="none" w:sz="0" w:space="0" w:color="FFFFFF"/>
              <w:right w:val="none" w:sz="0" w:space="0" w:color="FFFFFF"/>
            </w:tcBorders>
          </w:tcPr>
          <w:p w14:paraId="76D39D3B" w14:textId="77777777" w:rsidR="009E1099" w:rsidRDefault="009E1099"/>
        </w:tc>
        <w:tc>
          <w:tcPr>
            <w:tcW w:w="4513" w:type="dxa"/>
            <w:tcBorders>
              <w:top w:val="none" w:sz="0" w:space="0" w:color="FFFFFF"/>
              <w:left w:val="none" w:sz="0" w:space="0" w:color="FFFFFF"/>
              <w:bottom w:val="none" w:sz="0" w:space="0" w:color="FFFFFF"/>
              <w:right w:val="none" w:sz="0" w:space="0" w:color="FFFFFF"/>
            </w:tcBorders>
            <w:shd w:val="clear" w:color="auto" w:fill="F4EFF9"/>
            <w:tcMar>
              <w:top w:w="120" w:type="dxa"/>
              <w:left w:w="160" w:type="dxa"/>
              <w:bottom w:w="120" w:type="dxa"/>
              <w:right w:w="160" w:type="dxa"/>
            </w:tcMar>
          </w:tcPr>
          <w:p w14:paraId="2F43D459" w14:textId="77777777" w:rsidR="009E1099" w:rsidRPr="005C3403" w:rsidRDefault="00000000">
            <w:pPr>
              <w:spacing w:after="40"/>
              <w:rPr>
                <w:lang w:val="en-US"/>
              </w:rPr>
            </w:pPr>
            <w:r w:rsidRPr="005C3403">
              <w:rPr>
                <w:rFonts w:ascii="Arial" w:eastAsia="Arial" w:hAnsi="Arial" w:cs="Arial"/>
                <w:b/>
                <w:bCs/>
                <w:color w:val="502379"/>
                <w:sz w:val="20"/>
                <w:szCs w:val="20"/>
                <w:lang w:val="en-US"/>
              </w:rPr>
              <w:t>Chief of Staff</w:t>
            </w:r>
          </w:p>
          <w:p w14:paraId="5836342B" w14:textId="77777777" w:rsidR="009E1099" w:rsidRPr="005C3403" w:rsidRDefault="00000000">
            <w:pPr>
              <w:rPr>
                <w:lang w:val="en-US"/>
              </w:rPr>
            </w:pPr>
            <w:r w:rsidRPr="005C3403">
              <w:rPr>
                <w:rFonts w:ascii="Arial" w:eastAsia="Arial" w:hAnsi="Arial" w:cs="Arial"/>
                <w:color w:val="6B5878"/>
                <w:sz w:val="18"/>
                <w:szCs w:val="18"/>
                <w:lang w:val="en-US"/>
              </w:rPr>
              <w:t>Belgian Minister of Higher Education · cross-border diplomatic issues including arms factory licence revocation in Tanzania</w:t>
            </w:r>
          </w:p>
        </w:tc>
      </w:tr>
      <w:tr w:rsidR="009E1099" w:rsidRPr="005C3403" w14:paraId="7842A075" w14:textId="77777777">
        <w:tblPrEx>
          <w:tblCellMar>
            <w:top w:w="0" w:type="dxa"/>
            <w:bottom w:w="0" w:type="dxa"/>
          </w:tblCellMar>
        </w:tblPrEx>
        <w:trPr>
          <w:gridAfter w:val="2"/>
          <w:wAfter w:w="4713" w:type="dxa"/>
        </w:trPr>
        <w:tc>
          <w:tcPr>
            <w:tcW w:w="9226" w:type="dxa"/>
            <w:tcBorders>
              <w:top w:val="none" w:sz="0" w:space="0" w:color="FFFFFF"/>
              <w:left w:val="none" w:sz="0" w:space="0" w:color="FFFFFF"/>
              <w:bottom w:val="none" w:sz="0" w:space="0" w:color="FFFFFF"/>
              <w:right w:val="none" w:sz="0" w:space="0" w:color="FFFFFF"/>
            </w:tcBorders>
          </w:tcPr>
          <w:p w14:paraId="65BBFF6B" w14:textId="77777777" w:rsidR="009E1099" w:rsidRPr="005C3403" w:rsidRDefault="009E1099">
            <w:pPr>
              <w:spacing w:before="80" w:after="80"/>
              <w:rPr>
                <w:lang w:val="en-US"/>
              </w:rPr>
            </w:pPr>
          </w:p>
        </w:tc>
      </w:tr>
    </w:tbl>
    <w:p w14:paraId="77C291D0" w14:textId="77777777" w:rsidR="009E1099" w:rsidRPr="005C3403" w:rsidRDefault="00000000">
      <w:pPr>
        <w:spacing w:after="160"/>
        <w:rPr>
          <w:lang w:val="en-US"/>
        </w:rPr>
      </w:pPr>
      <w:r w:rsidRPr="005C3403">
        <w:rPr>
          <w:lang w:val="en-US"/>
        </w:rPr>
        <w:t xml:space="preserve">The thread running through all of it? </w:t>
      </w:r>
      <w:r w:rsidRPr="005C3403">
        <w:rPr>
          <w:b/>
          <w:bCs/>
          <w:lang w:val="en-US"/>
        </w:rPr>
        <w:t>Participatory governance.</w:t>
      </w:r>
      <w:r w:rsidRPr="005C3403">
        <w:rPr>
          <w:lang w:val="en-US"/>
        </w:rPr>
        <w:t xml:space="preserve"> At the Belgian Ministry, we cut absenteeism from 8% to 3%, reduced processing times by 30%, and halved the office footprint — not by imposing top-down mandates, but by genuinely sharing leadership. At EurActiv, the transformation worked because people felt ownership over it. At BNP Paribas Fortis, I didn't just grow assets fivefold — I made the team a place where 100% of the bank's top talent wanted to work, versus none before.</w:t>
      </w:r>
    </w:p>
    <w:p w14:paraId="7E60C069" w14:textId="77777777" w:rsidR="009E1099" w:rsidRPr="005C3403" w:rsidRDefault="00000000">
      <w:pPr>
        <w:spacing w:after="160"/>
        <w:rPr>
          <w:lang w:val="en-US"/>
        </w:rPr>
      </w:pPr>
      <w:r w:rsidRPr="005C3403">
        <w:rPr>
          <w:lang w:val="en-US"/>
        </w:rPr>
        <w:t>Participatory governance isn't a buzzword in my vocabulary. It's what I actually do, in organisations ranging from 100 to 2,000 people, from the French Army to Italian insurance companies. And it's — not coincidentally — Volt's own governing philosophy.</w:t>
      </w:r>
    </w:p>
    <w:p w14:paraId="60C2730E" w14:textId="77777777" w:rsidR="009E1099" w:rsidRPr="005C3403" w:rsidRDefault="009E1099">
      <w:pPr>
        <w:pBdr>
          <w:bottom w:val="single" w:sz="4" w:space="1" w:color="D4C3E8"/>
        </w:pBdr>
        <w:spacing w:before="320" w:after="320"/>
        <w:rPr>
          <w:lang w:val="en-US"/>
        </w:rPr>
      </w:pPr>
    </w:p>
    <w:p w14:paraId="6F4A7918" w14:textId="77777777" w:rsidR="005E16E7" w:rsidRDefault="005E16E7">
      <w:pPr>
        <w:rPr>
          <w:rFonts w:ascii="Arial" w:eastAsia="Arial" w:hAnsi="Arial" w:cs="Arial"/>
          <w:b/>
          <w:bCs/>
          <w:color w:val="7B4FA6"/>
          <w:spacing w:val="60"/>
          <w:sz w:val="18"/>
          <w:szCs w:val="18"/>
          <w:lang w:val="en-US"/>
        </w:rPr>
      </w:pPr>
      <w:r>
        <w:rPr>
          <w:rFonts w:ascii="Arial" w:eastAsia="Arial" w:hAnsi="Arial" w:cs="Arial"/>
          <w:b/>
          <w:bCs/>
          <w:color w:val="7B4FA6"/>
          <w:spacing w:val="60"/>
          <w:sz w:val="18"/>
          <w:szCs w:val="18"/>
          <w:lang w:val="en-US"/>
        </w:rPr>
        <w:br w:type="page"/>
      </w:r>
    </w:p>
    <w:p w14:paraId="1EC4C41E" w14:textId="57F86513" w:rsidR="009E1099" w:rsidRPr="005C3403" w:rsidRDefault="00000000">
      <w:pPr>
        <w:spacing w:before="400" w:after="80"/>
        <w:rPr>
          <w:lang w:val="en-US"/>
        </w:rPr>
      </w:pPr>
      <w:r w:rsidRPr="005C3403">
        <w:rPr>
          <w:rFonts w:ascii="Arial" w:eastAsia="Arial" w:hAnsi="Arial" w:cs="Arial"/>
          <w:b/>
          <w:bCs/>
          <w:color w:val="7B4FA6"/>
          <w:spacing w:val="60"/>
          <w:sz w:val="18"/>
          <w:szCs w:val="18"/>
          <w:lang w:val="en-US"/>
        </w:rPr>
        <w:lastRenderedPageBreak/>
        <w:t>STRATEGIC PRIORITIES</w:t>
      </w:r>
    </w:p>
    <w:p w14:paraId="7DA4792E" w14:textId="77777777" w:rsidR="009E1099" w:rsidRPr="005E16E7" w:rsidRDefault="00000000">
      <w:pPr>
        <w:pStyle w:val="Titre1"/>
        <w:rPr>
          <w:sz w:val="44"/>
          <w:szCs w:val="44"/>
          <w:lang w:val="en-US"/>
        </w:rPr>
      </w:pPr>
      <w:r w:rsidRPr="005E16E7">
        <w:rPr>
          <w:sz w:val="44"/>
          <w:szCs w:val="44"/>
          <w:lang w:val="en-US"/>
        </w:rPr>
        <w:t>My commitments to Volt — if elected to the Board</w:t>
      </w:r>
    </w:p>
    <w:p w14:paraId="3C27A0E1" w14:textId="17147CD7" w:rsidR="009E1099" w:rsidRDefault="00000000" w:rsidP="005E16E7">
      <w:pPr>
        <w:spacing w:after="160"/>
      </w:pPr>
      <w:r w:rsidRPr="005C3403">
        <w:rPr>
          <w:lang w:val="en-US"/>
        </w:rPr>
        <w:t xml:space="preserve">Volt's Shine 2029 strategic plan is ambitious. Growing across thirty countries, deepening democratic legitimacy, building a federal Europe from the ground up — none of that happens by accident. It requires a Board that can translate vision into operational reality. </w:t>
      </w:r>
      <w:r>
        <w:t>Here's where I'd focus: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3"/>
        <w:gridCol w:w="7943"/>
      </w:tblGrid>
      <w:tr w:rsidR="009E1099" w:rsidRPr="005C3403" w14:paraId="67E845C2" w14:textId="77777777">
        <w:tblPrEx>
          <w:tblCellMar>
            <w:top w:w="0" w:type="dxa"/>
            <w:bottom w:w="0" w:type="dxa"/>
          </w:tblCellMar>
        </w:tblPrEx>
        <w:tc>
          <w:tcPr>
            <w:tcW w:w="800" w:type="dxa"/>
            <w:tcBorders>
              <w:top w:val="single" w:sz="4" w:space="0" w:color="D4C3E8"/>
              <w:left w:val="single" w:sz="4" w:space="0" w:color="D4C3E8"/>
              <w:bottom w:val="single" w:sz="4" w:space="0" w:color="D4C3E8"/>
              <w:right w:val="none" w:sz="0" w:space="0" w:color="FFFFFF"/>
            </w:tcBorders>
            <w:shd w:val="clear" w:color="auto" w:fill="F4EFF9"/>
            <w:tcMar>
              <w:top w:w="160" w:type="dxa"/>
              <w:left w:w="200" w:type="dxa"/>
              <w:bottom w:w="160" w:type="dxa"/>
              <w:right w:w="120" w:type="dxa"/>
            </w:tcMar>
          </w:tcPr>
          <w:p w14:paraId="5753BE3D" w14:textId="77777777" w:rsidR="009E1099" w:rsidRDefault="00000000">
            <w:r>
              <w:rPr>
                <w:b/>
                <w:bCs/>
                <w:color w:val="C8A9E8"/>
                <w:sz w:val="64"/>
                <w:szCs w:val="64"/>
              </w:rPr>
              <w:t>01</w:t>
            </w:r>
          </w:p>
        </w:tc>
        <w:tc>
          <w:tcPr>
            <w:tcW w:w="8226" w:type="dxa"/>
            <w:tcBorders>
              <w:top w:val="single" w:sz="4" w:space="0" w:color="D4C3E8"/>
              <w:left w:val="none" w:sz="0" w:space="0" w:color="FFFFFF"/>
              <w:bottom w:val="single" w:sz="4" w:space="0" w:color="D4C3E8"/>
              <w:right w:val="single" w:sz="4" w:space="0" w:color="D4C3E8"/>
            </w:tcBorders>
            <w:shd w:val="clear" w:color="auto" w:fill="FFFFFF"/>
            <w:tcMar>
              <w:top w:w="160" w:type="dxa"/>
              <w:left w:w="200" w:type="dxa"/>
              <w:bottom w:w="160" w:type="dxa"/>
              <w:right w:w="200" w:type="dxa"/>
            </w:tcMar>
          </w:tcPr>
          <w:p w14:paraId="42B61695" w14:textId="77777777" w:rsidR="009E1099" w:rsidRPr="005C3403" w:rsidRDefault="00000000">
            <w:pPr>
              <w:spacing w:after="80"/>
              <w:rPr>
                <w:lang w:val="en-US"/>
              </w:rPr>
            </w:pPr>
            <w:r w:rsidRPr="005C3403">
              <w:rPr>
                <w:rFonts w:ascii="Arial" w:eastAsia="Arial" w:hAnsi="Arial" w:cs="Arial"/>
                <w:b/>
                <w:bCs/>
                <w:color w:val="502379"/>
                <w:lang w:val="en-US"/>
              </w:rPr>
              <w:t>Genuine participatory governance — inside Volt</w:t>
            </w:r>
          </w:p>
          <w:p w14:paraId="5E8D2599" w14:textId="77777777" w:rsidR="009E1099" w:rsidRPr="005C3403" w:rsidRDefault="00000000">
            <w:pPr>
              <w:rPr>
                <w:lang w:val="en-US"/>
              </w:rPr>
            </w:pPr>
            <w:r w:rsidRPr="005C3403">
              <w:rPr>
                <w:sz w:val="20"/>
                <w:szCs w:val="20"/>
                <w:lang w:val="en-US"/>
              </w:rPr>
              <w:t>We can’t credibly advocate for participatory democracy across Europe while running our own organisation top-down. I’ll bring the same frameworks I’ve applied in 15+ organisations to help Volt practice what it preaches — structurally, not just rhetorically. Members need real ownership. Local chapters need real voice. The Board needs to model distributed leadership, not centralise it.</w:t>
            </w:r>
          </w:p>
        </w:tc>
      </w:tr>
    </w:tbl>
    <w:p w14:paraId="54C901E3" w14:textId="77777777" w:rsidR="009E1099" w:rsidRPr="005C3403" w:rsidRDefault="009E1099">
      <w:pPr>
        <w:spacing w:before="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7856"/>
      </w:tblGrid>
      <w:tr w:rsidR="009E1099" w14:paraId="354A0656" w14:textId="77777777">
        <w:tblPrEx>
          <w:tblCellMar>
            <w:top w:w="0" w:type="dxa"/>
            <w:bottom w:w="0" w:type="dxa"/>
          </w:tblCellMar>
        </w:tblPrEx>
        <w:tc>
          <w:tcPr>
            <w:tcW w:w="800" w:type="dxa"/>
            <w:tcBorders>
              <w:top w:val="single" w:sz="4" w:space="0" w:color="D4C3E8"/>
              <w:left w:val="single" w:sz="4" w:space="0" w:color="D4C3E8"/>
              <w:bottom w:val="single" w:sz="4" w:space="0" w:color="D4C3E8"/>
              <w:right w:val="none" w:sz="0" w:space="0" w:color="FFFFFF"/>
            </w:tcBorders>
            <w:shd w:val="clear" w:color="auto" w:fill="F4EFF9"/>
            <w:tcMar>
              <w:top w:w="160" w:type="dxa"/>
              <w:left w:w="200" w:type="dxa"/>
              <w:bottom w:w="160" w:type="dxa"/>
              <w:right w:w="120" w:type="dxa"/>
            </w:tcMar>
          </w:tcPr>
          <w:p w14:paraId="3E5A3636" w14:textId="77777777" w:rsidR="009E1099" w:rsidRDefault="00000000">
            <w:r>
              <w:rPr>
                <w:b/>
                <w:bCs/>
                <w:color w:val="C8A9E8"/>
                <w:sz w:val="64"/>
                <w:szCs w:val="64"/>
              </w:rPr>
              <w:t>02</w:t>
            </w:r>
          </w:p>
        </w:tc>
        <w:tc>
          <w:tcPr>
            <w:tcW w:w="8226" w:type="dxa"/>
            <w:tcBorders>
              <w:top w:val="single" w:sz="4" w:space="0" w:color="D4C3E8"/>
              <w:left w:val="none" w:sz="0" w:space="0" w:color="FFFFFF"/>
              <w:bottom w:val="single" w:sz="4" w:space="0" w:color="D4C3E8"/>
              <w:right w:val="single" w:sz="4" w:space="0" w:color="D4C3E8"/>
            </w:tcBorders>
            <w:shd w:val="clear" w:color="auto" w:fill="FFFFFF"/>
            <w:tcMar>
              <w:top w:w="160" w:type="dxa"/>
              <w:left w:w="200" w:type="dxa"/>
              <w:bottom w:w="160" w:type="dxa"/>
              <w:right w:w="200" w:type="dxa"/>
            </w:tcMar>
          </w:tcPr>
          <w:p w14:paraId="25DE79CE" w14:textId="77777777" w:rsidR="009E1099" w:rsidRPr="005C3403" w:rsidRDefault="00000000">
            <w:pPr>
              <w:spacing w:after="80"/>
              <w:rPr>
                <w:lang w:val="en-US"/>
              </w:rPr>
            </w:pPr>
            <w:r w:rsidRPr="005C3403">
              <w:rPr>
                <w:rFonts w:ascii="Arial" w:eastAsia="Arial" w:hAnsi="Arial" w:cs="Arial"/>
                <w:b/>
                <w:bCs/>
                <w:color w:val="502379"/>
                <w:lang w:val="en-US"/>
              </w:rPr>
              <w:t>Strategic communications across linguistic Europe</w:t>
            </w:r>
          </w:p>
          <w:p w14:paraId="62F3928D" w14:textId="77777777" w:rsidR="009E1099" w:rsidRDefault="00000000">
            <w:r w:rsidRPr="005C3403">
              <w:rPr>
                <w:sz w:val="20"/>
                <w:szCs w:val="20"/>
                <w:lang w:val="en-US"/>
              </w:rPr>
              <w:t xml:space="preserve">Twenty-five years of strategic communications experience, and the languages to deploy it from Lisbon to Warsaw. Volt’s message is strong. Its reach is still uneven. I’ll work to ensure our narrative lands — not just in our strongest national chapters, but across the continent, in the idiom and register that each country actually responds to. </w:t>
            </w:r>
            <w:r>
              <w:rPr>
                <w:sz w:val="20"/>
                <w:szCs w:val="20"/>
              </w:rPr>
              <w:t>That requires linguistic fluency, cultural intelligence, and communication strategy.</w:t>
            </w:r>
          </w:p>
        </w:tc>
      </w:tr>
    </w:tbl>
    <w:p w14:paraId="73E1E648" w14:textId="77777777" w:rsidR="009E1099" w:rsidRDefault="009E109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9"/>
        <w:gridCol w:w="7857"/>
      </w:tblGrid>
      <w:tr w:rsidR="009E1099" w:rsidRPr="005C3403" w14:paraId="3AD1AA02" w14:textId="77777777">
        <w:tblPrEx>
          <w:tblCellMar>
            <w:top w:w="0" w:type="dxa"/>
            <w:bottom w:w="0" w:type="dxa"/>
          </w:tblCellMar>
        </w:tblPrEx>
        <w:tc>
          <w:tcPr>
            <w:tcW w:w="800" w:type="dxa"/>
            <w:tcBorders>
              <w:top w:val="single" w:sz="4" w:space="0" w:color="D4C3E8"/>
              <w:left w:val="single" w:sz="4" w:space="0" w:color="D4C3E8"/>
              <w:bottom w:val="single" w:sz="4" w:space="0" w:color="D4C3E8"/>
              <w:right w:val="none" w:sz="0" w:space="0" w:color="FFFFFF"/>
            </w:tcBorders>
            <w:shd w:val="clear" w:color="auto" w:fill="F4EFF9"/>
            <w:tcMar>
              <w:top w:w="160" w:type="dxa"/>
              <w:left w:w="200" w:type="dxa"/>
              <w:bottom w:w="160" w:type="dxa"/>
              <w:right w:w="120" w:type="dxa"/>
            </w:tcMar>
          </w:tcPr>
          <w:p w14:paraId="3C4C5E94" w14:textId="77777777" w:rsidR="009E1099" w:rsidRDefault="00000000">
            <w:r>
              <w:rPr>
                <w:b/>
                <w:bCs/>
                <w:color w:val="C8A9E8"/>
                <w:sz w:val="64"/>
                <w:szCs w:val="64"/>
              </w:rPr>
              <w:t>03</w:t>
            </w:r>
          </w:p>
        </w:tc>
        <w:tc>
          <w:tcPr>
            <w:tcW w:w="8226" w:type="dxa"/>
            <w:tcBorders>
              <w:top w:val="single" w:sz="4" w:space="0" w:color="D4C3E8"/>
              <w:left w:val="none" w:sz="0" w:space="0" w:color="FFFFFF"/>
              <w:bottom w:val="single" w:sz="4" w:space="0" w:color="D4C3E8"/>
              <w:right w:val="single" w:sz="4" w:space="0" w:color="D4C3E8"/>
            </w:tcBorders>
            <w:shd w:val="clear" w:color="auto" w:fill="FFFFFF"/>
            <w:tcMar>
              <w:top w:w="160" w:type="dxa"/>
              <w:left w:w="200" w:type="dxa"/>
              <w:bottom w:w="160" w:type="dxa"/>
              <w:right w:w="200" w:type="dxa"/>
            </w:tcMar>
          </w:tcPr>
          <w:p w14:paraId="58D52882" w14:textId="77777777" w:rsidR="009E1099" w:rsidRPr="005C3403" w:rsidRDefault="00000000">
            <w:pPr>
              <w:spacing w:after="80"/>
              <w:rPr>
                <w:lang w:val="en-US"/>
              </w:rPr>
            </w:pPr>
            <w:r w:rsidRPr="005C3403">
              <w:rPr>
                <w:rFonts w:ascii="Arial" w:eastAsia="Arial" w:hAnsi="Arial" w:cs="Arial"/>
                <w:b/>
                <w:bCs/>
                <w:color w:val="502379"/>
                <w:lang w:val="en-US"/>
              </w:rPr>
              <w:t>Institutional credibility and senior-level partnerships</w:t>
            </w:r>
          </w:p>
          <w:p w14:paraId="047FEDC7" w14:textId="77777777" w:rsidR="009E1099" w:rsidRPr="005C3403" w:rsidRDefault="00000000">
            <w:pPr>
              <w:rPr>
                <w:lang w:val="en-US"/>
              </w:rPr>
            </w:pPr>
            <w:r w:rsidRPr="005C3403">
              <w:rPr>
                <w:sz w:val="20"/>
                <w:szCs w:val="20"/>
                <w:lang w:val="en-US"/>
              </w:rPr>
              <w:t>Volt needs to be taken seriously in rooms where decisions are made — by senior civil servants, ministers, institutional investors, and development agencies. I’ve sat in those rooms. I’ve negotiated with ministers’ cabinets on politically sensitive legislation, led public-private partnerships for governments, and worked with the World Bank, EBRD, and AFD. That network and credibility can open doors for Volt that would otherwise remain closed.</w:t>
            </w:r>
          </w:p>
        </w:tc>
      </w:tr>
    </w:tbl>
    <w:p w14:paraId="1873E9D8" w14:textId="77777777" w:rsidR="009E1099" w:rsidRPr="005C3403" w:rsidRDefault="009E1099">
      <w:pPr>
        <w:spacing w:before="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5"/>
        <w:gridCol w:w="7841"/>
      </w:tblGrid>
      <w:tr w:rsidR="009E1099" w:rsidRPr="005C3403" w14:paraId="1CD5D15A" w14:textId="77777777">
        <w:tblPrEx>
          <w:tblCellMar>
            <w:top w:w="0" w:type="dxa"/>
            <w:bottom w:w="0" w:type="dxa"/>
          </w:tblCellMar>
        </w:tblPrEx>
        <w:tc>
          <w:tcPr>
            <w:tcW w:w="800" w:type="dxa"/>
            <w:tcBorders>
              <w:top w:val="single" w:sz="4" w:space="0" w:color="D4C3E8"/>
              <w:left w:val="single" w:sz="4" w:space="0" w:color="D4C3E8"/>
              <w:bottom w:val="single" w:sz="4" w:space="0" w:color="D4C3E8"/>
              <w:right w:val="none" w:sz="0" w:space="0" w:color="FFFFFF"/>
            </w:tcBorders>
            <w:shd w:val="clear" w:color="auto" w:fill="F4EFF9"/>
            <w:tcMar>
              <w:top w:w="160" w:type="dxa"/>
              <w:left w:w="200" w:type="dxa"/>
              <w:bottom w:w="160" w:type="dxa"/>
              <w:right w:w="120" w:type="dxa"/>
            </w:tcMar>
          </w:tcPr>
          <w:p w14:paraId="31DEB226" w14:textId="77777777" w:rsidR="009E1099" w:rsidRDefault="00000000">
            <w:r>
              <w:rPr>
                <w:b/>
                <w:bCs/>
                <w:color w:val="C8A9E8"/>
                <w:sz w:val="64"/>
                <w:szCs w:val="64"/>
              </w:rPr>
              <w:t>04</w:t>
            </w:r>
          </w:p>
        </w:tc>
        <w:tc>
          <w:tcPr>
            <w:tcW w:w="8226" w:type="dxa"/>
            <w:tcBorders>
              <w:top w:val="single" w:sz="4" w:space="0" w:color="D4C3E8"/>
              <w:left w:val="none" w:sz="0" w:space="0" w:color="FFFFFF"/>
              <w:bottom w:val="single" w:sz="4" w:space="0" w:color="D4C3E8"/>
              <w:right w:val="single" w:sz="4" w:space="0" w:color="D4C3E8"/>
            </w:tcBorders>
            <w:shd w:val="clear" w:color="auto" w:fill="FFFFFF"/>
            <w:tcMar>
              <w:top w:w="160" w:type="dxa"/>
              <w:left w:w="200" w:type="dxa"/>
              <w:bottom w:w="160" w:type="dxa"/>
              <w:right w:w="200" w:type="dxa"/>
            </w:tcMar>
          </w:tcPr>
          <w:p w14:paraId="47653BDD" w14:textId="77777777" w:rsidR="009E1099" w:rsidRPr="005C3403" w:rsidRDefault="00000000">
            <w:pPr>
              <w:spacing w:after="80"/>
              <w:rPr>
                <w:lang w:val="en-US"/>
              </w:rPr>
            </w:pPr>
            <w:r w:rsidRPr="005C3403">
              <w:rPr>
                <w:rFonts w:ascii="Arial" w:eastAsia="Arial" w:hAnsi="Arial" w:cs="Arial"/>
                <w:b/>
                <w:bCs/>
                <w:color w:val="502379"/>
                <w:lang w:val="en-US"/>
              </w:rPr>
              <w:t>Advancing democratic legitimacy — finishing the Anastassopoulos project</w:t>
            </w:r>
          </w:p>
          <w:p w14:paraId="11B661E2" w14:textId="77777777" w:rsidR="009E1099" w:rsidRPr="005C3403" w:rsidRDefault="00000000">
            <w:pPr>
              <w:rPr>
                <w:lang w:val="en-US"/>
              </w:rPr>
            </w:pPr>
            <w:r w:rsidRPr="005C3403">
              <w:rPr>
                <w:sz w:val="20"/>
                <w:szCs w:val="20"/>
                <w:lang w:val="en-US"/>
              </w:rPr>
              <w:t>The idea that the European Parliament should produce genuinely European politicians — not just national politicians with European mandates — is one I’ve carried since 1999. Volt’s commitment to democratic reform and renewing European legitimacy is the right institutional home for this ambition. I’ll advocate for electoral structures that create the conditions for pan-European political identity to actually flourish.</w:t>
            </w:r>
          </w:p>
        </w:tc>
      </w:tr>
    </w:tbl>
    <w:p w14:paraId="51CD30A7" w14:textId="77777777" w:rsidR="009E1099" w:rsidRPr="005C3403" w:rsidRDefault="009E1099">
      <w:pPr>
        <w:spacing w:before="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3"/>
        <w:gridCol w:w="7873"/>
      </w:tblGrid>
      <w:tr w:rsidR="009E1099" w:rsidRPr="005C3403" w14:paraId="06608F90" w14:textId="77777777">
        <w:tblPrEx>
          <w:tblCellMar>
            <w:top w:w="0" w:type="dxa"/>
            <w:bottom w:w="0" w:type="dxa"/>
          </w:tblCellMar>
        </w:tblPrEx>
        <w:tc>
          <w:tcPr>
            <w:tcW w:w="800" w:type="dxa"/>
            <w:tcBorders>
              <w:top w:val="single" w:sz="4" w:space="0" w:color="D4C3E8"/>
              <w:left w:val="single" w:sz="4" w:space="0" w:color="D4C3E8"/>
              <w:bottom w:val="single" w:sz="4" w:space="0" w:color="D4C3E8"/>
              <w:right w:val="none" w:sz="0" w:space="0" w:color="FFFFFF"/>
            </w:tcBorders>
            <w:shd w:val="clear" w:color="auto" w:fill="F4EFF9"/>
            <w:tcMar>
              <w:top w:w="160" w:type="dxa"/>
              <w:left w:w="200" w:type="dxa"/>
              <w:bottom w:w="160" w:type="dxa"/>
              <w:right w:w="120" w:type="dxa"/>
            </w:tcMar>
          </w:tcPr>
          <w:p w14:paraId="47D05108" w14:textId="77777777" w:rsidR="009E1099" w:rsidRDefault="00000000">
            <w:r>
              <w:rPr>
                <w:b/>
                <w:bCs/>
                <w:color w:val="C8A9E8"/>
                <w:sz w:val="64"/>
                <w:szCs w:val="64"/>
              </w:rPr>
              <w:t>05</w:t>
            </w:r>
          </w:p>
        </w:tc>
        <w:tc>
          <w:tcPr>
            <w:tcW w:w="8226" w:type="dxa"/>
            <w:tcBorders>
              <w:top w:val="single" w:sz="4" w:space="0" w:color="D4C3E8"/>
              <w:left w:val="none" w:sz="0" w:space="0" w:color="FFFFFF"/>
              <w:bottom w:val="single" w:sz="4" w:space="0" w:color="D4C3E8"/>
              <w:right w:val="single" w:sz="4" w:space="0" w:color="D4C3E8"/>
            </w:tcBorders>
            <w:shd w:val="clear" w:color="auto" w:fill="FFFFFF"/>
            <w:tcMar>
              <w:top w:w="160" w:type="dxa"/>
              <w:left w:w="200" w:type="dxa"/>
              <w:bottom w:w="160" w:type="dxa"/>
              <w:right w:w="200" w:type="dxa"/>
            </w:tcMar>
          </w:tcPr>
          <w:p w14:paraId="1DC17BFF" w14:textId="77777777" w:rsidR="009E1099" w:rsidRPr="005C3403" w:rsidRDefault="00000000">
            <w:pPr>
              <w:spacing w:after="80"/>
              <w:rPr>
                <w:lang w:val="en-US"/>
              </w:rPr>
            </w:pPr>
            <w:r w:rsidRPr="005C3403">
              <w:rPr>
                <w:rFonts w:ascii="Arial" w:eastAsia="Arial" w:hAnsi="Arial" w:cs="Arial"/>
                <w:b/>
                <w:bCs/>
                <w:color w:val="502379"/>
                <w:lang w:val="en-US"/>
              </w:rPr>
              <w:t>Europe’s role in the world — from experience in fragile contexts</w:t>
            </w:r>
          </w:p>
          <w:p w14:paraId="22BEA22E" w14:textId="431CDDC6" w:rsidR="009E1099" w:rsidRPr="005C3403" w:rsidRDefault="00000000">
            <w:pPr>
              <w:rPr>
                <w:lang w:val="en-US"/>
              </w:rPr>
            </w:pPr>
            <w:r w:rsidRPr="005C3403">
              <w:rPr>
                <w:sz w:val="20"/>
                <w:szCs w:val="20"/>
                <w:lang w:val="en-US"/>
              </w:rPr>
              <w:t xml:space="preserve">I’ve worked </w:t>
            </w:r>
            <w:r w:rsidR="005C3403">
              <w:rPr>
                <w:sz w:val="20"/>
                <w:szCs w:val="20"/>
                <w:lang w:val="en-US"/>
              </w:rPr>
              <w:t xml:space="preserve">among others </w:t>
            </w:r>
            <w:r w:rsidRPr="005C3403">
              <w:rPr>
                <w:sz w:val="20"/>
                <w:szCs w:val="20"/>
                <w:lang w:val="en-US"/>
              </w:rPr>
              <w:t>in Belarus, Moldova, Ukraine, and Mozambique. I’ve seen what it means — from the ground — when European institutions show up with serious commitments and coherent strategy, and when they don’t. Volt’s foreign policy pillar calls for a Europe that speaks with one voice globally. I understand what that requires in practice, and I’ll contribute that experience to how we think about Volt’s external positioning.</w:t>
            </w:r>
          </w:p>
        </w:tc>
      </w:tr>
    </w:tbl>
    <w:p w14:paraId="097DC9B4" w14:textId="77777777" w:rsidR="009E1099" w:rsidRDefault="00000000">
      <w:pPr>
        <w:spacing w:before="400" w:after="80"/>
      </w:pPr>
      <w:r>
        <w:rPr>
          <w:rFonts w:ascii="Arial" w:eastAsia="Arial" w:hAnsi="Arial" w:cs="Arial"/>
          <w:b/>
          <w:bCs/>
          <w:color w:val="7B4FA6"/>
          <w:spacing w:val="60"/>
          <w:sz w:val="18"/>
          <w:szCs w:val="18"/>
        </w:rPr>
        <w:lastRenderedPageBreak/>
        <w:t>TRANSPARENCY</w:t>
      </w:r>
    </w:p>
    <w:p w14:paraId="39AFC606" w14:textId="77777777" w:rsidR="009E1099" w:rsidRDefault="00000000">
      <w:pPr>
        <w:pStyle w:val="Titre1"/>
      </w:pPr>
      <w:r>
        <w:t>An honest note</w:t>
      </w:r>
    </w:p>
    <w:p w14:paraId="274CA089" w14:textId="77777777" w:rsidR="009E1099" w:rsidRDefault="009E109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E1099" w:rsidRPr="005C3403" w14:paraId="33A3B07A" w14:textId="77777777">
        <w:tblPrEx>
          <w:tblCellMar>
            <w:top w:w="0" w:type="dxa"/>
            <w:bottom w:w="0" w:type="dxa"/>
          </w:tblCellMar>
        </w:tblPrEx>
        <w:tc>
          <w:tcPr>
            <w:tcW w:w="9026" w:type="dxa"/>
            <w:tcBorders>
              <w:top w:val="single" w:sz="6" w:space="0" w:color="E8C98A"/>
              <w:left w:val="single" w:sz="6" w:space="0" w:color="E8C98A"/>
              <w:bottom w:val="single" w:sz="6" w:space="0" w:color="E8C98A"/>
              <w:right w:val="single" w:sz="6" w:space="0" w:color="E8C98A"/>
            </w:tcBorders>
            <w:shd w:val="clear" w:color="auto" w:fill="FFF8F0"/>
            <w:tcMar>
              <w:top w:w="160" w:type="dxa"/>
              <w:left w:w="300" w:type="dxa"/>
              <w:bottom w:w="160" w:type="dxa"/>
              <w:right w:w="300" w:type="dxa"/>
            </w:tcMar>
          </w:tcPr>
          <w:p w14:paraId="41B75EC4" w14:textId="77777777" w:rsidR="009E1099" w:rsidRPr="005C3403" w:rsidRDefault="00000000">
            <w:pPr>
              <w:spacing w:after="120"/>
              <w:rPr>
                <w:lang w:val="en-US"/>
              </w:rPr>
            </w:pPr>
            <w:r w:rsidRPr="005C3403">
              <w:rPr>
                <w:rFonts w:ascii="Arial" w:eastAsia="Arial" w:hAnsi="Arial" w:cs="Arial"/>
                <w:b/>
                <w:bCs/>
                <w:color w:val="B07D30"/>
                <w:spacing w:val="50"/>
                <w:sz w:val="16"/>
                <w:szCs w:val="16"/>
                <w:lang w:val="en-US"/>
              </w:rPr>
              <w:t>A WORD OF CANDOUR</w:t>
            </w:r>
          </w:p>
          <w:p w14:paraId="32BB6B7B" w14:textId="77777777" w:rsidR="009E1099" w:rsidRPr="005C3403" w:rsidRDefault="00000000">
            <w:pPr>
              <w:spacing w:after="120"/>
              <w:rPr>
                <w:lang w:val="en-US"/>
              </w:rPr>
            </w:pPr>
            <w:r w:rsidRPr="005C3403">
              <w:rPr>
                <w:color w:val="5A4020"/>
                <w:sz w:val="20"/>
                <w:szCs w:val="20"/>
                <w:lang w:val="en-US"/>
              </w:rPr>
              <w:t>I joined Volt recently. And the honest truth is that the last several months have been professionally intense — I’ve been travelling constantly for client work across Europe. So I haven’t yet been locally active in my Volt chapter, and I won’t pretend otherwise.</w:t>
            </w:r>
          </w:p>
          <w:p w14:paraId="5B172533" w14:textId="77777777" w:rsidR="009E1099" w:rsidRPr="005C3403" w:rsidRDefault="00000000">
            <w:pPr>
              <w:spacing w:after="120"/>
              <w:rPr>
                <w:lang w:val="en-US"/>
              </w:rPr>
            </w:pPr>
            <w:r w:rsidRPr="005C3403">
              <w:rPr>
                <w:color w:val="5A4020"/>
                <w:sz w:val="20"/>
                <w:szCs w:val="20"/>
                <w:lang w:val="en-US"/>
              </w:rPr>
              <w:t>That changes now. I’m committed to being present, engaged, and genuinely useful at the local level going forward. I wanted to say that plainly rather than paper over it — because transparency about where I am is more useful to you than a polished version of where I wish I’d been.</w:t>
            </w:r>
          </w:p>
          <w:p w14:paraId="21FAF55D" w14:textId="77777777" w:rsidR="009E1099" w:rsidRPr="005C3403" w:rsidRDefault="00000000">
            <w:pPr>
              <w:rPr>
                <w:lang w:val="en-US"/>
              </w:rPr>
            </w:pPr>
            <w:r w:rsidRPr="005C3403">
              <w:rPr>
                <w:color w:val="5A4020"/>
                <w:sz w:val="20"/>
                <w:szCs w:val="20"/>
                <w:lang w:val="en-US"/>
              </w:rPr>
              <w:t>What I can tell you is that my commitment to European integration is older than my membership in Volt, and deeper than the date on my card.</w:t>
            </w:r>
          </w:p>
        </w:tc>
      </w:tr>
    </w:tbl>
    <w:p w14:paraId="29B5FAEF" w14:textId="77777777" w:rsidR="009E1099" w:rsidRPr="005C3403" w:rsidRDefault="009E1099">
      <w:pPr>
        <w:pBdr>
          <w:bottom w:val="single" w:sz="4" w:space="1" w:color="D4C3E8"/>
        </w:pBdr>
        <w:spacing w:before="320" w:after="320"/>
        <w:rPr>
          <w:lang w:val="en-US"/>
        </w:rPr>
      </w:pPr>
    </w:p>
    <w:p w14:paraId="456868A8" w14:textId="77777777" w:rsidR="009E1099" w:rsidRPr="005C3403" w:rsidRDefault="00000000">
      <w:pPr>
        <w:spacing w:before="400" w:after="80"/>
        <w:rPr>
          <w:lang w:val="en-US"/>
        </w:rPr>
      </w:pPr>
      <w:r w:rsidRPr="005C3403">
        <w:rPr>
          <w:rFonts w:ascii="Arial" w:eastAsia="Arial" w:hAnsi="Arial" w:cs="Arial"/>
          <w:b/>
          <w:bCs/>
          <w:color w:val="7B4FA6"/>
          <w:spacing w:val="60"/>
          <w:sz w:val="18"/>
          <w:szCs w:val="18"/>
          <w:lang w:val="en-US"/>
        </w:rPr>
        <w:t>CLOSING</w:t>
      </w:r>
    </w:p>
    <w:p w14:paraId="5183D9F5" w14:textId="77777777" w:rsidR="009E1099" w:rsidRPr="005C3403" w:rsidRDefault="00000000">
      <w:pPr>
        <w:pStyle w:val="Titre1"/>
        <w:rPr>
          <w:lang w:val="en-US"/>
        </w:rPr>
      </w:pPr>
      <w:r w:rsidRPr="005C3403">
        <w:rPr>
          <w:lang w:val="en-US"/>
        </w:rPr>
        <w:t>What I’m asking for</w:t>
      </w:r>
    </w:p>
    <w:p w14:paraId="4A4D7F8B" w14:textId="4574BB4A" w:rsidR="009E1099" w:rsidRPr="005C3403" w:rsidRDefault="00000000">
      <w:pPr>
        <w:spacing w:after="160"/>
        <w:rPr>
          <w:lang w:val="en-US"/>
        </w:rPr>
      </w:pPr>
      <w:r w:rsidRPr="005C3403">
        <w:rPr>
          <w:lang w:val="en-US"/>
        </w:rPr>
        <w:t>I genuinely believe Volt is doing something important, and I have the experience, the languages, the network, and the intellectual commitment to make the Board stronger.</w:t>
      </w:r>
    </w:p>
    <w:p w14:paraId="1A22D4C9" w14:textId="6F14EB1F" w:rsidR="009E1099" w:rsidRPr="005C3403" w:rsidRDefault="00000000">
      <w:pPr>
        <w:spacing w:after="160"/>
        <w:rPr>
          <w:lang w:val="en-US"/>
        </w:rPr>
      </w:pPr>
      <w:r w:rsidRPr="005C3403">
        <w:rPr>
          <w:lang w:val="en-US"/>
        </w:rPr>
        <w:t xml:space="preserve">I’ve spent thirty years building organisations that are more human, more participatory, more capable of serving the people inside and outside them. I’ve advocated for European federalism since before it was a viable electoral platform. I’ve written about it, campaigned for it, and lived it professionally across </w:t>
      </w:r>
      <w:r w:rsidR="005E16E7">
        <w:rPr>
          <w:lang w:val="en-US"/>
        </w:rPr>
        <w:t>various</w:t>
      </w:r>
      <w:r w:rsidRPr="005C3403">
        <w:rPr>
          <w:lang w:val="en-US"/>
        </w:rPr>
        <w:t xml:space="preserve"> countries and sectors.</w:t>
      </w:r>
    </w:p>
    <w:p w14:paraId="3D886E5E" w14:textId="108CFC60" w:rsidR="009E1099" w:rsidRDefault="00000000" w:rsidP="005E16E7">
      <w:pPr>
        <w:spacing w:after="160"/>
      </w:pPr>
      <w:r w:rsidRPr="005C3403">
        <w:rPr>
          <w:lang w:val="en-US"/>
        </w:rPr>
        <w:t xml:space="preserve">Volt’s Shine 2029 plan calls for a thriving EU with renewed democratic legitimacy — a federal, green, progressive Europe built from the inside out, one country, one community, one election at a time. I want to be part of building that.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9026"/>
      </w:tblGrid>
      <w:tr w:rsidR="009E1099" w14:paraId="4226EF51" w14:textId="77777777">
        <w:tc>
          <w:tcPr>
            <w:tcW w:w="9026" w:type="dxa"/>
            <w:tcBorders>
              <w:top w:val="none" w:sz="0" w:space="0" w:color="FFFFFF"/>
              <w:left w:val="single" w:sz="16" w:space="0" w:color="502379"/>
              <w:bottom w:val="none" w:sz="0" w:space="0" w:color="FFFFFF"/>
              <w:right w:val="none" w:sz="0" w:space="0" w:color="FFFFFF"/>
            </w:tcBorders>
            <w:shd w:val="clear" w:color="auto" w:fill="F4EFF9"/>
            <w:tcMar>
              <w:top w:w="160" w:type="dxa"/>
              <w:left w:w="300" w:type="dxa"/>
              <w:bottom w:w="160" w:type="dxa"/>
              <w:right w:w="160" w:type="dxa"/>
            </w:tcMar>
          </w:tcPr>
          <w:p w14:paraId="35FEEB9C" w14:textId="77777777" w:rsidR="009E1099" w:rsidRPr="005C3403" w:rsidRDefault="00000000">
            <w:pPr>
              <w:spacing w:after="100"/>
              <w:rPr>
                <w:lang w:val="en-US"/>
              </w:rPr>
            </w:pPr>
            <w:r w:rsidRPr="005C3403">
              <w:rPr>
                <w:i/>
                <w:iCs/>
                <w:color w:val="502379"/>
                <w:sz w:val="26"/>
                <w:szCs w:val="26"/>
                <w:lang w:val="en-US"/>
              </w:rPr>
              <w:t>The fate of all peoples is intimately linked. The main force behind European integration has always been the awareness of this obvious fact — and the desire to act accordingly.</w:t>
            </w:r>
          </w:p>
          <w:p w14:paraId="0FA182E3" w14:textId="77777777" w:rsidR="009E1099" w:rsidRDefault="00000000">
            <w:r>
              <w:rPr>
                <w:rFonts w:ascii="Arial" w:eastAsia="Arial" w:hAnsi="Arial" w:cs="Arial"/>
                <w:b/>
                <w:bCs/>
                <w:caps/>
                <w:color w:val="6B5878"/>
                <w:spacing w:val="40"/>
                <w:sz w:val="16"/>
                <w:szCs w:val="16"/>
              </w:rPr>
              <w:t>— Laurent Ledoux, Substack, May 2024</w:t>
            </w:r>
          </w:p>
        </w:tc>
      </w:tr>
    </w:tbl>
    <w:p w14:paraId="12F01CFD" w14:textId="77777777" w:rsidR="005E16E7" w:rsidRDefault="005E16E7">
      <w:pPr>
        <w:spacing w:after="160"/>
        <w:rPr>
          <w:lang w:val="en-US"/>
        </w:rPr>
      </w:pPr>
    </w:p>
    <w:p w14:paraId="2B35F5ED" w14:textId="0BBAA8F3" w:rsidR="009E1099" w:rsidRPr="005C3403" w:rsidRDefault="00000000">
      <w:pPr>
        <w:spacing w:after="160"/>
        <w:rPr>
          <w:lang w:val="en-US"/>
        </w:rPr>
      </w:pPr>
      <w:r w:rsidRPr="005C3403">
        <w:rPr>
          <w:lang w:val="en-US"/>
        </w:rPr>
        <w:t>I hope to earn your vote. And I look forward to the work.</w:t>
      </w:r>
    </w:p>
    <w:p w14:paraId="50284636" w14:textId="77777777" w:rsidR="009E1099" w:rsidRPr="005C3403" w:rsidRDefault="009E1099">
      <w:pPr>
        <w:spacing w:before="160"/>
        <w:rPr>
          <w:lang w:val="en-US"/>
        </w:rPr>
      </w:pPr>
    </w:p>
    <w:p w14:paraId="341A598A" w14:textId="77777777" w:rsidR="009E1099" w:rsidRDefault="00000000">
      <w:pPr>
        <w:spacing w:after="160"/>
      </w:pPr>
      <w:r>
        <w:rPr>
          <w:b/>
          <w:bCs/>
        </w:rPr>
        <w:t>Laurent Ledoux</w:t>
      </w:r>
    </w:p>
    <w:p w14:paraId="71E9C764" w14:textId="77777777" w:rsidR="009E1099" w:rsidRDefault="00000000">
      <w:pPr>
        <w:spacing w:after="160"/>
      </w:pPr>
      <w:r>
        <w:rPr>
          <w:color w:val="502379"/>
        </w:rPr>
        <w:t>ledoux.laurent@gmail.com  ·  +32 478 62 14 20</w:t>
      </w:r>
    </w:p>
    <w:sectPr w:rsidR="009E1099">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3CDE" w14:textId="77777777" w:rsidR="00A31CE5" w:rsidRDefault="00A31CE5">
      <w:r>
        <w:separator/>
      </w:r>
    </w:p>
  </w:endnote>
  <w:endnote w:type="continuationSeparator" w:id="0">
    <w:p w14:paraId="6520CA2A" w14:textId="77777777" w:rsidR="00A31CE5" w:rsidRDefault="00A3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F1CA" w14:textId="77777777" w:rsidR="009E1099" w:rsidRPr="005C3403" w:rsidRDefault="00000000">
    <w:pPr>
      <w:jc w:val="center"/>
      <w:rPr>
        <w:lang w:val="en-US"/>
      </w:rPr>
    </w:pPr>
    <w:r w:rsidRPr="005C3403">
      <w:rPr>
        <w:rFonts w:ascii="Arial" w:eastAsia="Arial" w:hAnsi="Arial" w:cs="Arial"/>
        <w:color w:val="6B5878"/>
        <w:sz w:val="16"/>
        <w:szCs w:val="16"/>
        <w:lang w:val="en-US"/>
      </w:rPr>
      <w:t>Laurent Ledoux  ·  Candidate, Board of Volt Europa AISBL  ·  2026  ·  ledoux.laurent@gmail.com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A16F" w14:textId="77777777" w:rsidR="00A31CE5" w:rsidRDefault="00A31CE5">
      <w:r>
        <w:separator/>
      </w:r>
    </w:p>
  </w:footnote>
  <w:footnote w:type="continuationSeparator" w:id="0">
    <w:p w14:paraId="40FE6FBB" w14:textId="77777777" w:rsidR="00A31CE5" w:rsidRDefault="00A3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4232"/>
    <w:multiLevelType w:val="hybridMultilevel"/>
    <w:tmpl w:val="027A7BE2"/>
    <w:lvl w:ilvl="0" w:tplc="34CCFFAA">
      <w:start w:val="1"/>
      <w:numFmt w:val="bullet"/>
      <w:lvlText w:val="●"/>
      <w:lvlJc w:val="left"/>
      <w:pPr>
        <w:ind w:left="720" w:hanging="360"/>
      </w:pPr>
    </w:lvl>
    <w:lvl w:ilvl="1" w:tplc="C0D0A2BA">
      <w:start w:val="1"/>
      <w:numFmt w:val="bullet"/>
      <w:lvlText w:val="○"/>
      <w:lvlJc w:val="left"/>
      <w:pPr>
        <w:ind w:left="1440" w:hanging="360"/>
      </w:pPr>
    </w:lvl>
    <w:lvl w:ilvl="2" w:tplc="2D2C769E">
      <w:start w:val="1"/>
      <w:numFmt w:val="bullet"/>
      <w:lvlText w:val="■"/>
      <w:lvlJc w:val="left"/>
      <w:pPr>
        <w:ind w:left="2160" w:hanging="360"/>
      </w:pPr>
    </w:lvl>
    <w:lvl w:ilvl="3" w:tplc="F466AFF6">
      <w:start w:val="1"/>
      <w:numFmt w:val="bullet"/>
      <w:lvlText w:val="●"/>
      <w:lvlJc w:val="left"/>
      <w:pPr>
        <w:ind w:left="2880" w:hanging="360"/>
      </w:pPr>
    </w:lvl>
    <w:lvl w:ilvl="4" w:tplc="035C4926">
      <w:start w:val="1"/>
      <w:numFmt w:val="bullet"/>
      <w:lvlText w:val="○"/>
      <w:lvlJc w:val="left"/>
      <w:pPr>
        <w:ind w:left="3600" w:hanging="360"/>
      </w:pPr>
    </w:lvl>
    <w:lvl w:ilvl="5" w:tplc="9DFAFD98">
      <w:start w:val="1"/>
      <w:numFmt w:val="bullet"/>
      <w:lvlText w:val="■"/>
      <w:lvlJc w:val="left"/>
      <w:pPr>
        <w:ind w:left="4320" w:hanging="360"/>
      </w:pPr>
    </w:lvl>
    <w:lvl w:ilvl="6" w:tplc="3BC436E8">
      <w:start w:val="1"/>
      <w:numFmt w:val="bullet"/>
      <w:lvlText w:val="●"/>
      <w:lvlJc w:val="left"/>
      <w:pPr>
        <w:ind w:left="5040" w:hanging="360"/>
      </w:pPr>
    </w:lvl>
    <w:lvl w:ilvl="7" w:tplc="EFBC9EF6">
      <w:start w:val="1"/>
      <w:numFmt w:val="bullet"/>
      <w:lvlText w:val="●"/>
      <w:lvlJc w:val="left"/>
      <w:pPr>
        <w:ind w:left="5760" w:hanging="360"/>
      </w:pPr>
    </w:lvl>
    <w:lvl w:ilvl="8" w:tplc="ED44D4EA">
      <w:start w:val="1"/>
      <w:numFmt w:val="bullet"/>
      <w:lvlText w:val="●"/>
      <w:lvlJc w:val="left"/>
      <w:pPr>
        <w:ind w:left="6480" w:hanging="360"/>
      </w:pPr>
    </w:lvl>
  </w:abstractNum>
  <w:abstractNum w:abstractNumId="1" w15:restartNumberingAfterBreak="0">
    <w:nsid w:val="511A0988"/>
    <w:multiLevelType w:val="hybridMultilevel"/>
    <w:tmpl w:val="C0144380"/>
    <w:lvl w:ilvl="0" w:tplc="01A2F56E">
      <w:start w:val="1"/>
      <w:numFmt w:val="bullet"/>
      <w:lvlText w:val="•"/>
      <w:lvlJc w:val="left"/>
      <w:pPr>
        <w:ind w:left="720" w:hanging="360"/>
      </w:pPr>
    </w:lvl>
    <w:lvl w:ilvl="1" w:tplc="3CF873EC">
      <w:numFmt w:val="decimal"/>
      <w:lvlText w:val=""/>
      <w:lvlJc w:val="left"/>
    </w:lvl>
    <w:lvl w:ilvl="2" w:tplc="B30ECA6E">
      <w:numFmt w:val="decimal"/>
      <w:lvlText w:val=""/>
      <w:lvlJc w:val="left"/>
    </w:lvl>
    <w:lvl w:ilvl="3" w:tplc="5BB2381E">
      <w:numFmt w:val="decimal"/>
      <w:lvlText w:val=""/>
      <w:lvlJc w:val="left"/>
    </w:lvl>
    <w:lvl w:ilvl="4" w:tplc="5A086AF4">
      <w:numFmt w:val="decimal"/>
      <w:lvlText w:val=""/>
      <w:lvlJc w:val="left"/>
    </w:lvl>
    <w:lvl w:ilvl="5" w:tplc="8BE8EBD2">
      <w:numFmt w:val="decimal"/>
      <w:lvlText w:val=""/>
      <w:lvlJc w:val="left"/>
    </w:lvl>
    <w:lvl w:ilvl="6" w:tplc="9612D2B4">
      <w:numFmt w:val="decimal"/>
      <w:lvlText w:val=""/>
      <w:lvlJc w:val="left"/>
    </w:lvl>
    <w:lvl w:ilvl="7" w:tplc="0130F208">
      <w:numFmt w:val="decimal"/>
      <w:lvlText w:val=""/>
      <w:lvlJc w:val="left"/>
    </w:lvl>
    <w:lvl w:ilvl="8" w:tplc="BE8A5B3E">
      <w:numFmt w:val="decimal"/>
      <w:lvlText w:val=""/>
      <w:lvlJc w:val="left"/>
    </w:lvl>
  </w:abstractNum>
  <w:num w:numId="1" w16cid:durableId="20324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99"/>
    <w:rsid w:val="005C3403"/>
    <w:rsid w:val="005E16E7"/>
    <w:rsid w:val="009E1099"/>
    <w:rsid w:val="00A31CE5"/>
    <w:rsid w:val="00AD18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A67B"/>
  <w15:docId w15:val="{99774535-210C-4DC0-8CFC-BB2A080A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220"/>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80" w:after="240"/>
      <w:outlineLvl w:val="0"/>
    </w:pPr>
    <w:rPr>
      <w:b/>
      <w:bCs/>
      <w:color w:val="502379"/>
      <w:sz w:val="48"/>
      <w:szCs w:val="48"/>
    </w:rPr>
  </w:style>
  <w:style w:type="paragraph" w:styleId="Titre2">
    <w:name w:val="heading 2"/>
    <w:uiPriority w:val="9"/>
    <w:unhideWhenUsed/>
    <w:qFormat/>
    <w:pPr>
      <w:spacing w:before="360" w:after="120"/>
      <w:outlineLvl w:val="1"/>
    </w:pPr>
    <w:rPr>
      <w:b/>
      <w:bCs/>
      <w:color w:val="502379"/>
      <w:sz w:val="36"/>
      <w:szCs w:val="3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1541</Words>
  <Characters>8480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laurent.ledoux</cp:lastModifiedBy>
  <cp:revision>3</cp:revision>
  <dcterms:created xsi:type="dcterms:W3CDTF">2026-04-12T21:07:00Z</dcterms:created>
  <dcterms:modified xsi:type="dcterms:W3CDTF">2026-04-12T21:27:00Z</dcterms:modified>
</cp:coreProperties>
</file>